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276</w:t>
      </w:r>
    </w:p>
    <w:p>
      <w:r>
        <w:t>Bundesgericht (BGE), 1999-06-18, DE</w:t>
      </w:r>
    </w:p>
    <w:p>
      <w:r>
        <w:rPr>
          <w:b/>
        </w:rPr>
        <w:t xml:space="preserve">Quelle: </w:t>
      </w:r>
      <w:r>
        <w:t>https://mcp.opencaselaw.ch/entscheid/bge_125 V 276</w:t>
      </w:r>
    </w:p>
    <w:p>
      <w:r>
        <w:t>FR: ATF 125 V 276</w:t>
      </w:r>
    </w:p>
    <w:p>
      <w:r>
        <w:t>IT: DTF 125 V 276</w:t>
      </w:r>
    </w:p>
    <w:p>
      <w:pPr>
        <w:pStyle w:val="Heading2"/>
      </w:pPr>
      <w:r>
        <w:t>Regeste</w:t>
      </w:r>
    </w:p>
    <w:p>
      <w:r>
        <w:t>Regeste Art. 12 Abs. 2 lit. b KVV: Mahngebühren. Die Erhebung angemessener Mahngebühren und Umtriebsspesen beim Verzug in der Zahlung von Prämien und Kostenbeteiligungen ist unter der Voraussetzung der schuldhaften Verursachung der (bei rechtzeitiger Zahlung unnötigen) Aufwendungen durch die versicherte Person auch im Bereich des neuen KVG zulässig, sofern der Krankenversicherer in seinen allgemeinen Bestimmungen über die Rechte und Pflichten der Versicherten eine entsprechende Regelung vorsieht.</w:t>
      </w:r>
    </w:p>
    <w:p>
      <w:pPr>
        <w:pStyle w:val="Heading2"/>
      </w:pPr>
      <w:r>
        <w:t>Erwägungen</w:t>
      </w:r>
    </w:p>
    <w:p>
      <w:r>
        <w:rPr>
          <w:b/>
        </w:rPr>
        <w:t>E. 2</w:t>
      </w:r>
    </w:p>
    <w:p>
      <w:r>
        <w:t>c) aa) Dem Beschwerdeführer wurden [im Zusammenhang mit der Durchsetzung ausstehender Prämien- und Kostenbeteiligungsforderungen von der Krankenkasse] zusätzlich Mahnspesen von Fr. 50.-- sowie ein Umtriebsspesenanteil von Fr. 20.-- belastet. Die Erhebung eines Unkostenbeitrages für Spesen und Umtriebe, welche durch das Verhalten eines Versicherten verursacht worden sind, war unter dem KUVG bei entsprechenden statutarischen Bestimmungen zulässig (nicht veröffentlichte Urteile F. vom 25. Januar 1984 und B. vom 22. März 1982). bb) Es fragt sich, ob unter dem neuen Recht an dieser Rechtsprechung festgehalten werden kann. BGE 125 V 276 S. 277 Im Gegensatz zu Art. 1 Abs. 2 KUVG , wonach sich die Krankenkassen nach ihrem Gutfinden einrichteten, soweit das Gesetz keine entgegenstehenden Vorschriften enthielt, fehlt im neuen Recht ein entsprechender Hinweis auf eine Autonomie der Versicherer. Das Gesetzmässigkeitsprinzip hat das Autonomieprinzip abgelöst, indem das KVG die Krankenpflegeversicherung in wesentlichen Bereichen vollständig und detailliert regelt ( BGE 124 V 359 f. Erw. 2d mit Hinweisen; zur sozialen Krankentaggeldversicherung vgl. demgegenüber BGE 124 V 205 Erw. 3d). In Bereichen, in denen die gesetzliche Regelung nicht detailliert ist, sind kasseninterne Bestimmungen hingegen nicht von vornherein unzulässig (MAURER, Das neue Krankenversicherungsrecht, S. 9; zurückhaltender EUGSTER, Krankenversicherung, in: Schweizerisches Bundesverwaltungsrecht [SBVR], Rz. 5). Davon geht auch Art. 12 Abs. 2 lit. b KVV aus, wonach die Krankenkassen dem Anerkennungsgesuch an das Bundesamt für Sozialversicherung allfällige allgemeine Bestimmungen über die Rechte und Pflichten der Versicherten beizulegen haben. Bezüglich der Erhebung von Mahngebühren beim Verzug in der Zahlung von Prämien und Kostenbeteiligungen vertritt EUGSTER (a.a.O., Rz. 341) die Auffassung, dass autonome Regelungen der Versicherer zulässig sind, sofern die versicherte Person die (unnötigen) Kosten schuldhaft verursacht hat und die Entschädigung angemessen ist (anders bezüglich Kosten, die beim Gesetzesvollzug notwendigerweise entstehen; vgl. hiezu auch RKUV 1992 Nr. K 891 S. 72 Erw. 2b betreffend KUVG sowie SVR 1994 BVG Nr. 18 S. 47 Erw. 4 betreffend BVG). Nachdem die Durchsetzung der finanziellen Verpflichtungen der Versicherten gegenüber den Versicherern weder gesetzlich noch verordnungsmässig ausführlich geregelt ist und die Erhebung von Mahngebühren nicht in gesetzliche Ansprüche eingreift, kann dieser Auffassung gefolgt werden. cc) Da Art. 12 Abs. 4 der Allgemeinen Versicherungsbedingungen [der Kasse] ... die Erhebung von Umtriebsspesen bis zu einem Betrag von Fr. 50.-- pro Fall bei Verletzung der Mitwirkungspflichten des Versicherten (Prämieninkasso/Leistungsauszahlung) ausdrücklich vorsieht und der Beschwerdeführer mehrmals gemahnt werden musste, erging der vorinstanzliche Entscheid, soweit er die Auferlegung von Mahn- und Umtriebsspesen in der Höhe von insgesamt Fr. 70.-- schützt,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